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Startup Financial Model: Structure &amp; Assumptions</w:t>
      </w:r>
    </w:p>
    <w:p>
      <w:pPr>
        <w:spacing w:after="200"/>
      </w:pPr>
      <w:r>
        <w:rPr>
          <w:rFonts w:ascii="Arial" w:cs="Arial" w:eastAsia="Arial" w:hAnsi="Arial"/>
          <w:color w:val="6B7385"/>
          <w:sz w:val="22"/>
          <w:szCs w:val="22"/>
        </w:rPr>
        <w:t xml:space="preserve">What to build in your spreadsheet model, tab by tab</w:t>
      </w:r>
    </w:p>
    <w:p>
      <w:pPr>
        <w:spacing w:after="200"/>
      </w:pPr>
      <w:r>
        <w:rPr>
          <w:rFonts w:ascii="Arial" w:cs="Arial" w:eastAsia="Arial" w:hAnsi="Arial"/>
        </w:rPr>
        <w:t xml:space="preserve">A guide to building a simple, investor-ready financial model in a spreadsheet. Use this as the blueprint, then build the live numbers in your sheet of choice.</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Assumptions tab</w:t>
      </w:r>
    </w:p>
    <w:p>
      <w:pPr>
        <w:spacing w:after="160"/>
      </w:pPr>
      <w:r>
        <w:rPr>
          <w:rFonts w:ascii="Arial" w:cs="Arial" w:eastAsia="Arial" w:hAnsi="Arial"/>
        </w:rPr>
        <w:t xml:space="preserve">Put every key input in one place so you can change a number and watch the model update. Include:</w:t>
      </w:r>
    </w:p>
    <w:p>
      <w:pPr>
        <w:pStyle w:val="ListParagraph"/>
        <w:numPr>
          <w:ilvl w:val="0"/>
          <w:numId w:val="2"/>
        </w:numPr>
        <w:spacing w:after="160"/>
      </w:pPr>
      <w:r>
        <w:rPr>
          <w:rFonts w:ascii="Arial" w:cs="Arial" w:eastAsia="Arial" w:hAnsi="Arial"/>
        </w:rPr>
        <w:t xml:space="preserve">Pricing per plan and expected mix</w:t>
      </w:r>
    </w:p>
    <w:p>
      <w:pPr>
        <w:pStyle w:val="ListParagraph"/>
        <w:numPr>
          <w:ilvl w:val="0"/>
          <w:numId w:val="2"/>
        </w:numPr>
        <w:spacing w:after="160"/>
      </w:pPr>
      <w:r>
        <w:rPr>
          <w:rFonts w:ascii="Arial" w:cs="Arial" w:eastAsia="Arial" w:hAnsi="Arial"/>
        </w:rPr>
        <w:t xml:space="preserve">Customer acquisition: spend, conversion, and new customers per month</w:t>
      </w:r>
    </w:p>
    <w:p>
      <w:pPr>
        <w:pStyle w:val="ListParagraph"/>
        <w:numPr>
          <w:ilvl w:val="0"/>
          <w:numId w:val="2"/>
        </w:numPr>
        <w:spacing w:after="160"/>
      </w:pPr>
      <w:r>
        <w:rPr>
          <w:rFonts w:ascii="Arial" w:cs="Arial" w:eastAsia="Arial" w:hAnsi="Arial"/>
        </w:rPr>
        <w:t xml:space="preserve">Churn rate and expected growth rate</w:t>
      </w:r>
    </w:p>
    <w:p>
      <w:pPr>
        <w:pStyle w:val="ListParagraph"/>
        <w:numPr>
          <w:ilvl w:val="0"/>
          <w:numId w:val="2"/>
        </w:numPr>
        <w:spacing w:after="160"/>
      </w:pPr>
      <w:r>
        <w:rPr>
          <w:rFonts w:ascii="Arial" w:cs="Arial" w:eastAsia="Arial" w:hAnsi="Arial"/>
        </w:rPr>
        <w:t xml:space="preserve">Salaries and headcount plan by month</w:t>
      </w:r>
    </w:p>
    <w:p>
      <w:pPr>
        <w:pStyle w:val="ListParagraph"/>
        <w:numPr>
          <w:ilvl w:val="0"/>
          <w:numId w:val="2"/>
        </w:numPr>
        <w:spacing w:after="160"/>
      </w:pPr>
      <w:r>
        <w:rPr>
          <w:rFonts w:ascii="Arial" w:cs="Arial" w:eastAsia="Arial" w:hAnsi="Arial"/>
        </w:rPr>
        <w:t xml:space="preserve">Fixed costs: rent, software, services</w:t>
      </w:r>
    </w:p>
    <w:p>
      <w:pPr>
        <w:pStyle w:val="Heading2"/>
        <w:spacing w:after="120" w:before="200"/>
      </w:pPr>
      <w:r>
        <w:rPr>
          <w:rFonts w:ascii="Arial" w:cs="Arial" w:eastAsia="Arial" w:hAnsi="Arial"/>
          <w:b/>
          <w:bCs/>
          <w:sz w:val="26"/>
          <w:szCs w:val="26"/>
        </w:rPr>
        <w:t xml:space="preserve">2. Revenue build</w:t>
      </w:r>
    </w:p>
    <w:p>
      <w:pPr>
        <w:spacing w:after="160"/>
      </w:pPr>
      <w:r>
        <w:rPr>
          <w:rFonts w:ascii="Arial" w:cs="Arial" w:eastAsia="Arial" w:hAnsi="Arial"/>
        </w:rPr>
        <w:t xml:space="preserve">Project revenue bottoms-up: new customers each month, minus churn, times price. Show MRR and ARR. Avoid top-down "1% of a huge market" claims.</w:t>
      </w:r>
    </w:p>
    <w:p>
      <w:pPr>
        <w:pStyle w:val="Heading2"/>
        <w:spacing w:after="120" w:before="200"/>
      </w:pPr>
      <w:r>
        <w:rPr>
          <w:rFonts w:ascii="Arial" w:cs="Arial" w:eastAsia="Arial" w:hAnsi="Arial"/>
          <w:b/>
          <w:bCs/>
          <w:sz w:val="26"/>
          <w:szCs w:val="26"/>
        </w:rPr>
        <w:t xml:space="preserve">3. Costs</w:t>
      </w:r>
    </w:p>
    <w:p>
      <w:pPr>
        <w:spacing w:after="160"/>
      </w:pPr>
      <w:r>
        <w:rPr>
          <w:rFonts w:ascii="Arial" w:cs="Arial" w:eastAsia="Arial" w:hAnsi="Arial"/>
        </w:rPr>
        <w:t xml:space="preserve">Split into cost of goods sold (hosting, payment fees, support) and operating expenses (salaries, marketing, overhead). Tie headcount to your hiring plan.</w:t>
      </w:r>
    </w:p>
    <w:p>
      <w:pPr>
        <w:pStyle w:val="Heading2"/>
        <w:spacing w:after="120" w:before="200"/>
      </w:pPr>
      <w:r>
        <w:rPr>
          <w:rFonts w:ascii="Arial" w:cs="Arial" w:eastAsia="Arial" w:hAnsi="Arial"/>
          <w:b/>
          <w:bCs/>
          <w:sz w:val="26"/>
          <w:szCs w:val="26"/>
        </w:rPr>
        <w:t xml:space="preserve">4. Cash flow &amp; runway</w:t>
      </w:r>
    </w:p>
    <w:p>
      <w:pPr>
        <w:spacing w:after="160"/>
      </w:pPr>
      <w:r>
        <w:rPr>
          <w:rFonts w:ascii="Arial" w:cs="Arial" w:eastAsia="Arial" w:hAnsi="Arial"/>
        </w:rPr>
        <w:t xml:space="preserve">Track cash in, cash out and the closing balance each month. Your runway is cash divided by net monthly burn. Flag the month you would run out without raising.</w:t>
      </w:r>
    </w:p>
    <w:p>
      <w:pPr>
        <w:pStyle w:val="Heading2"/>
        <w:spacing w:after="120" w:before="200"/>
      </w:pPr>
      <w:r>
        <w:rPr>
          <w:rFonts w:ascii="Arial" w:cs="Arial" w:eastAsia="Arial" w:hAnsi="Arial"/>
          <w:b/>
          <w:bCs/>
          <w:sz w:val="26"/>
          <w:szCs w:val="26"/>
        </w:rPr>
        <w:t xml:space="preserve">5. Key metrics</w:t>
      </w:r>
    </w:p>
    <w:p>
      <w:pPr>
        <w:spacing w:after="160"/>
      </w:pPr>
      <w:r>
        <w:rPr>
          <w:rFonts w:ascii="Arial" w:cs="Arial" w:eastAsia="Arial" w:hAnsi="Arial"/>
        </w:rPr>
        <w:t xml:space="preserve">Surface the numbers investors check: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Metric</w:t>
            </w:r>
          </w:p>
        </w:tc>
        <w:tc>
          <w:tcPr>
            <w:tcW w:type="dxa" w:w="624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What it shows</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MRR / ARR growth</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Momentum</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Gross margin</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Efficiency of delivery</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CAC &amp; payback</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Cost to acquire and recover</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LTV : CAC</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Unit economics health</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Burn &amp; runway</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How long the money lasts</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Rule of 40</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Growth plus profitability balance</w:t>
            </w:r>
          </w:p>
        </w:tc>
      </w:tr>
    </w:tbl>
    <w:p>
      <w:pPr>
        <w:pStyle w:val="Heading2"/>
        <w:spacing w:after="120" w:before="200"/>
      </w:pPr>
      <w:r>
        <w:rPr>
          <w:rFonts w:ascii="Arial" w:cs="Arial" w:eastAsia="Arial" w:hAnsi="Arial"/>
          <w:b/>
          <w:bCs/>
          <w:sz w:val="26"/>
          <w:szCs w:val="26"/>
        </w:rPr>
        <w:t xml:space="preserve">6. Scenarios</w:t>
      </w:r>
    </w:p>
    <w:p>
      <w:pPr>
        <w:spacing w:after="160"/>
      </w:pPr>
      <w:r>
        <w:rPr>
          <w:rFonts w:ascii="Arial" w:cs="Arial" w:eastAsia="Arial" w:hAnsi="Arial"/>
        </w:rPr>
        <w:t xml:space="preserve">Build a base, an optimistic and a conservative case by changing a few assumptions. Investors want to see you understand the levers and the risks.</w:t>
      </w:r>
    </w:p>
    <w:p>
      <w:pPr>
        <w:spacing w:before="140"/>
      </w:pPr>
      <w:r>
        <w:rPr>
          <w:rFonts w:ascii="Arial" w:cs="Arial" w:eastAsia="Arial" w:hAnsi="Arial"/>
          <w:i/>
          <w:iCs/>
          <w:color w:val="6B7385"/>
          <w:sz w:val="18"/>
          <w:szCs w:val="18"/>
        </w:rPr>
        <w:t xml:space="preserve">Tip: TheStartupsHub's master calculator computes runway, CAC, LTV, Rule of 40, valuation and dilution instantly, use it to sanity-check your model.</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Startup Financial Model: Structure &amp; Assumptions</dc:title>
  <dc:creator>TheStartupsHub</dc:creator>
  <dc:description>What to build in your spreadsheet model, tab by tab</dc:description>
  <cp:lastModifiedBy>Un-named</cp:lastModifiedBy>
  <cp:revision>1</cp:revision>
  <dcterms:created xsi:type="dcterms:W3CDTF">2026-06-22T17:25:25.570Z</dcterms:created>
  <dcterms:modified xsi:type="dcterms:W3CDTF">2026-06-22T17:25:25.570Z</dcterms:modified>
</cp:coreProperties>
</file>

<file path=docProps/custom.xml><?xml version="1.0" encoding="utf-8"?>
<Properties xmlns="http://schemas.openxmlformats.org/officeDocument/2006/custom-properties" xmlns:vt="http://schemas.openxmlformats.org/officeDocument/2006/docPropsVTypes"/>
</file>