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Master Services Agreement (MSA)</w:t>
      </w:r>
    </w:p>
    <w:p>
      <w:pPr>
        <w:spacing w:after="200"/>
      </w:pPr>
      <w:r>
        <w:rPr>
          <w:rFonts w:ascii="Arial" w:cs="Arial" w:eastAsia="Arial" w:hAnsi="Arial"/>
          <w:color w:val="6B7385"/>
          <w:sz w:val="22"/>
          <w:szCs w:val="22"/>
        </w:rPr>
        <w:t xml:space="preserve">Framework for ongoing services with multiple statements of work</w:t>
      </w:r>
    </w:p>
    <w:p>
      <w:pPr>
        <w:spacing w:after="200"/>
      </w:pPr>
      <w:r>
        <w:rPr>
          <w:rFonts w:ascii="Arial" w:cs="Arial" w:eastAsia="Arial" w:hAnsi="Arial"/>
        </w:rPr>
        <w:t xml:space="preserve">This MSA sets the standard terms between </w:t>
      </w:r>
      <w:r>
        <w:rPr>
          <w:rFonts w:ascii="Arial" w:cs="Arial" w:eastAsia="Arial" w:hAnsi="Arial"/>
          <w:b/>
          <w:bCs/>
          <w:color w:val="E85D04"/>
        </w:rPr>
        <w:t xml:space="preserve">[Company Name]</w:t>
      </w:r>
      <w:r>
        <w:rPr>
          <w:rFonts w:ascii="Arial" w:cs="Arial" w:eastAsia="Arial" w:hAnsi="Arial"/>
        </w:rPr>
        <w:t xml:space="preserve"> and a client, under which specific work is ordered through Statements of Work.</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Structure</w:t>
      </w:r>
    </w:p>
    <w:p>
      <w:pPr>
        <w:spacing w:after="160"/>
      </w:pPr>
      <w:r>
        <w:rPr>
          <w:rFonts w:ascii="Arial" w:cs="Arial" w:eastAsia="Arial" w:hAnsi="Arial"/>
        </w:rPr>
        <w:t xml:space="preserve">This MSA between </w:t>
      </w:r>
      <w:r>
        <w:rPr>
          <w:rFonts w:ascii="Arial" w:cs="Arial" w:eastAsia="Arial" w:hAnsi="Arial"/>
          <w:b/>
          <w:bCs/>
          <w:color w:val="E85D04"/>
        </w:rPr>
        <w:t xml:space="preserve">[Company Name]</w:t>
      </w:r>
      <w:r>
        <w:rPr>
          <w:rFonts w:ascii="Arial" w:cs="Arial" w:eastAsia="Arial" w:hAnsi="Arial"/>
        </w:rPr>
        <w:t xml:space="preserve"> (the "Provider") and </w:t>
      </w:r>
      <w:r>
        <w:rPr>
          <w:rFonts w:ascii="Arial" w:cs="Arial" w:eastAsia="Arial" w:hAnsi="Arial"/>
          <w:b/>
          <w:bCs/>
          <w:color w:val="E85D04"/>
        </w:rPr>
        <w:t xml:space="preserve">[Client Name]</w:t>
      </w:r>
      <w:r>
        <w:rPr>
          <w:rFonts w:ascii="Arial" w:cs="Arial" w:eastAsia="Arial" w:hAnsi="Arial"/>
        </w:rPr>
        <w:t xml:space="preserve"> (the "Client") sets general terms. Specific services are described in Statements of Work (SOWs) that reference this MSA.</w:t>
      </w:r>
    </w:p>
    <w:p>
      <w:pPr>
        <w:pStyle w:val="Heading2"/>
        <w:spacing w:after="120" w:before="200"/>
      </w:pPr>
      <w:r>
        <w:rPr>
          <w:rFonts w:ascii="Arial" w:cs="Arial" w:eastAsia="Arial" w:hAnsi="Arial"/>
          <w:b/>
          <w:bCs/>
          <w:sz w:val="26"/>
          <w:szCs w:val="26"/>
        </w:rPr>
        <w:t xml:space="preserve">2. Services and SOWs</w:t>
      </w:r>
    </w:p>
    <w:p>
      <w:pPr>
        <w:spacing w:after="160"/>
      </w:pPr>
      <w:r>
        <w:rPr>
          <w:rFonts w:ascii="Arial" w:cs="Arial" w:eastAsia="Arial" w:hAnsi="Arial"/>
        </w:rPr>
        <w:t xml:space="preserve">Each SOW lists deliverables, timelines, fees and any special terms. If an SOW conflicts with this MSA, the SOW controls for that engagement.</w:t>
      </w:r>
    </w:p>
    <w:p>
      <w:pPr>
        <w:pStyle w:val="Heading2"/>
        <w:spacing w:after="120" w:before="200"/>
      </w:pPr>
      <w:r>
        <w:rPr>
          <w:rFonts w:ascii="Arial" w:cs="Arial" w:eastAsia="Arial" w:hAnsi="Arial"/>
          <w:b/>
          <w:bCs/>
          <w:sz w:val="26"/>
          <w:szCs w:val="26"/>
        </w:rPr>
        <w:t xml:space="preserve">3. Fees and payment</w:t>
      </w:r>
    </w:p>
    <w:p>
      <w:pPr>
        <w:spacing w:after="160"/>
      </w:pPr>
      <w:r>
        <w:rPr>
          <w:rFonts w:ascii="Arial" w:cs="Arial" w:eastAsia="Arial" w:hAnsi="Arial"/>
        </w:rPr>
        <w:t xml:space="preserve">Fees are set in each SOW. Invoices are due within </w:t>
      </w:r>
      <w:r>
        <w:rPr>
          <w:rFonts w:ascii="Arial" w:cs="Arial" w:eastAsia="Arial" w:hAnsi="Arial"/>
          <w:b/>
          <w:bCs/>
          <w:color w:val="E85D04"/>
        </w:rPr>
        <w:t xml:space="preserve">[30]</w:t>
      </w:r>
      <w:r>
        <w:rPr>
          <w:rFonts w:ascii="Arial" w:cs="Arial" w:eastAsia="Arial" w:hAnsi="Arial"/>
        </w:rPr>
        <w:t xml:space="preserve"> days. Disputed amounts must be raised within </w:t>
      </w:r>
      <w:r>
        <w:rPr>
          <w:rFonts w:ascii="Arial" w:cs="Arial" w:eastAsia="Arial" w:hAnsi="Arial"/>
          <w:b/>
          <w:bCs/>
          <w:color w:val="E85D04"/>
        </w:rPr>
        <w:t xml:space="preserve">[10]</w:t>
      </w:r>
      <w:r>
        <w:rPr>
          <w:rFonts w:ascii="Arial" w:cs="Arial" w:eastAsia="Arial" w:hAnsi="Arial"/>
        </w:rPr>
        <w:t xml:space="preserve"> days.</w:t>
      </w:r>
    </w:p>
    <w:p>
      <w:pPr>
        <w:pStyle w:val="Heading2"/>
        <w:spacing w:after="120" w:before="200"/>
      </w:pPr>
      <w:r>
        <w:rPr>
          <w:rFonts w:ascii="Arial" w:cs="Arial" w:eastAsia="Arial" w:hAnsi="Arial"/>
          <w:b/>
          <w:bCs/>
          <w:sz w:val="26"/>
          <w:szCs w:val="26"/>
        </w:rPr>
        <w:t xml:space="preserve">4. Intellectual property</w:t>
      </w:r>
    </w:p>
    <w:p>
      <w:pPr>
        <w:spacing w:after="160"/>
      </w:pPr>
      <w:r>
        <w:rPr>
          <w:rFonts w:ascii="Arial" w:cs="Arial" w:eastAsia="Arial" w:hAnsi="Arial"/>
        </w:rPr>
        <w:t xml:space="preserve">Deliverables created for the Client are assigned to the Client on payment. The Provider keeps its pre-existing materials and grants a license to use them within the deliverables.</w:t>
      </w:r>
    </w:p>
    <w:p>
      <w:pPr>
        <w:pStyle w:val="Heading2"/>
        <w:spacing w:after="120" w:before="200"/>
      </w:pPr>
      <w:r>
        <w:rPr>
          <w:rFonts w:ascii="Arial" w:cs="Arial" w:eastAsia="Arial" w:hAnsi="Arial"/>
          <w:b/>
          <w:bCs/>
          <w:sz w:val="26"/>
          <w:szCs w:val="26"/>
        </w:rPr>
        <w:t xml:space="preserve">5. Confidentiality</w:t>
      </w:r>
    </w:p>
    <w:p>
      <w:pPr>
        <w:spacing w:after="160"/>
      </w:pPr>
      <w:r>
        <w:rPr>
          <w:rFonts w:ascii="Arial" w:cs="Arial" w:eastAsia="Arial" w:hAnsi="Arial"/>
        </w:rPr>
        <w:t xml:space="preserve">Each party protects the other's confidential information and uses it only to perform this MSA.</w:t>
      </w:r>
    </w:p>
    <w:p>
      <w:pPr>
        <w:pStyle w:val="Heading2"/>
        <w:spacing w:after="120" w:before="200"/>
      </w:pPr>
      <w:r>
        <w:rPr>
          <w:rFonts w:ascii="Arial" w:cs="Arial" w:eastAsia="Arial" w:hAnsi="Arial"/>
          <w:b/>
          <w:bCs/>
          <w:sz w:val="26"/>
          <w:szCs w:val="26"/>
        </w:rPr>
        <w:t xml:space="preserve">6. Warranties and liability</w:t>
      </w:r>
    </w:p>
    <w:p>
      <w:pPr>
        <w:spacing w:after="160"/>
      </w:pPr>
      <w:r>
        <w:rPr>
          <w:rFonts w:ascii="Arial" w:cs="Arial" w:eastAsia="Arial" w:hAnsi="Arial"/>
        </w:rPr>
        <w:t xml:space="preserve">Services are performed professionally. Liability is capped at </w:t>
      </w:r>
      <w:r>
        <w:rPr>
          <w:rFonts w:ascii="Arial" w:cs="Arial" w:eastAsia="Arial" w:hAnsi="Arial"/>
          <w:b/>
          <w:bCs/>
          <w:color w:val="E85D04"/>
        </w:rPr>
        <w:t xml:space="preserve">[the fees paid under the relevant SOW in the prior 12 months]</w:t>
      </w:r>
      <w:r>
        <w:rPr>
          <w:rFonts w:ascii="Arial" w:cs="Arial" w:eastAsia="Arial" w:hAnsi="Arial"/>
        </w:rPr>
        <w:t xml:space="preserve">, excluding </w:t>
      </w:r>
      <w:r>
        <w:rPr>
          <w:rFonts w:ascii="Arial" w:cs="Arial" w:eastAsia="Arial" w:hAnsi="Arial"/>
          <w:b/>
          <w:bCs/>
          <w:color w:val="E85D04"/>
        </w:rPr>
        <w:t xml:space="preserve">[confidentiality, IP and indemnity]</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7. Term and termination</w:t>
      </w:r>
    </w:p>
    <w:p>
      <w:pPr>
        <w:spacing w:after="160"/>
      </w:pPr>
      <w:r>
        <w:rPr>
          <w:rFonts w:ascii="Arial" w:cs="Arial" w:eastAsia="Arial" w:hAnsi="Arial"/>
        </w:rPr>
        <w:t xml:space="preserve">This MSA runs until terminated. Either party may end it (or an SOW) for material breach not cured within </w:t>
      </w:r>
      <w:r>
        <w:rPr>
          <w:rFonts w:ascii="Arial" w:cs="Arial" w:eastAsia="Arial" w:hAnsi="Arial"/>
          <w:b/>
          <w:bCs/>
          <w:color w:val="E85D04"/>
        </w:rPr>
        <w:t xml:space="preserve">[30]</w:t>
      </w:r>
      <w:r>
        <w:rPr>
          <w:rFonts w:ascii="Arial" w:cs="Arial" w:eastAsia="Arial" w:hAnsi="Arial"/>
        </w:rPr>
        <w:t xml:space="preserve"> days, or for convenience with </w:t>
      </w:r>
      <w:r>
        <w:rPr>
          <w:rFonts w:ascii="Arial" w:cs="Arial" w:eastAsia="Arial" w:hAnsi="Arial"/>
          <w:b/>
          <w:bCs/>
          <w:color w:val="E85D04"/>
        </w:rPr>
        <w:t xml:space="preserve">[60]</w:t>
      </w:r>
      <w:r>
        <w:rPr>
          <w:rFonts w:ascii="Arial" w:cs="Arial" w:eastAsia="Arial" w:hAnsi="Arial"/>
        </w:rPr>
        <w:t xml:space="preserve"> days notice once active SOWs end.</w:t>
      </w:r>
    </w:p>
    <w:p>
      <w:pPr>
        <w:pStyle w:val="Heading2"/>
        <w:spacing w:after="120" w:before="200"/>
      </w:pPr>
      <w:r>
        <w:rPr>
          <w:rFonts w:ascii="Arial" w:cs="Arial" w:eastAsia="Arial" w:hAnsi="Arial"/>
          <w:b/>
          <w:bCs/>
          <w:sz w:val="26"/>
          <w:szCs w:val="26"/>
        </w:rPr>
        <w:t xml:space="preserve">8. Governing law</w:t>
      </w:r>
    </w:p>
    <w:p>
      <w:pPr>
        <w:spacing w:after="160"/>
      </w:pPr>
      <w:r>
        <w:rPr>
          <w:rFonts w:ascii="Arial" w:cs="Arial" w:eastAsia="Arial" w:hAnsi="Arial"/>
        </w:rPr>
        <w:t xml:space="preserve">This MSA is governed by the laws of </w:t>
      </w:r>
      <w:r>
        <w:rPr>
          <w:rFonts w:ascii="Arial" w:cs="Arial" w:eastAsia="Arial" w:hAnsi="Arial"/>
          <w:b/>
          <w:bCs/>
          <w:color w:val="E85D04"/>
        </w:rPr>
        <w:t xml:space="preserve">[jurisdiction]</w:t>
      </w:r>
      <w:r>
        <w:rPr>
          <w:rFonts w:ascii="Arial" w:cs="Arial" w:eastAsia="Arial" w:hAnsi="Arial"/>
        </w:rPr>
        <w:t xml:space="preserv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Provider</w:t>
      </w:r>
      <w:r>
        <w:rPr>
          <w:rFonts w:ascii="Arial" w:cs="Arial" w:eastAsia="Arial" w:hAnsi="Arial"/>
        </w:rPr>
        <w:t xml:space="preserve">	</w:t>
      </w:r>
      <w:r>
        <w:rPr>
          <w:rFonts w:ascii="Arial" w:cs="Arial" w:eastAsia="Arial" w:hAnsi="Arial"/>
          <w:b/>
          <w:bCs/>
        </w:rPr>
        <w:t xml:space="preserve">Client</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Services Agreement (MSA)</dc:title>
  <dc:creator>TheStartupsHub</dc:creator>
  <dc:description>Framework for ongoing services with multiple statements of work</dc:description>
  <cp:lastModifiedBy>Un-named</cp:lastModifiedBy>
  <cp:revision>1</cp:revision>
  <dcterms:created xsi:type="dcterms:W3CDTF">2026-06-22T05:22:52.571Z</dcterms:created>
  <dcterms:modified xsi:type="dcterms:W3CDTF">2026-06-22T05:22:52.571Z</dcterms:modified>
</cp:coreProperties>
</file>

<file path=docProps/custom.xml><?xml version="1.0" encoding="utf-8"?>
<Properties xmlns="http://schemas.openxmlformats.org/officeDocument/2006/custom-properties" xmlns:vt="http://schemas.openxmlformats.org/officeDocument/2006/docPropsVTypes"/>
</file>